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ACB29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/>
        </w:rPr>
        <w:drawing>
          <wp:inline distT="0" distB="0" distL="0" distR="0" wp14:anchorId="2296B421" wp14:editId="0A891D06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0D9FB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23D75637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17134244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E1ECB7" w14:textId="7E2938A8" w:rsidR="00BF2878" w:rsidRPr="00AD5C65" w:rsidRDefault="000D1CC0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6B0D"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6E43034B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E233C8" w14:textId="77777777" w:rsidR="00BF2878" w:rsidRPr="00681D1F" w:rsidRDefault="00671371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BC2A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  </w:t>
      </w:r>
      <w:r w:rsidR="00BF2878" w:rsidRPr="00681D1F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4FE949E9" w14:textId="77777777"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3C549B5" w14:textId="77777777" w:rsidR="00AD5C65" w:rsidRPr="00AD5C65" w:rsidRDefault="00AD5C65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2A98B56" w14:textId="6AADAFDA" w:rsidR="00BF2878" w:rsidRPr="00AD5C65" w:rsidRDefault="00F96188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B0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</w:t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D6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5308E8" w14:textId="77777777" w:rsidR="00BF2878" w:rsidRPr="00AD5C65" w:rsidRDefault="00BF2878" w:rsidP="00AD5C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5897BA2" w14:textId="77777777" w:rsidR="00BF2878" w:rsidRPr="00AD5C65" w:rsidRDefault="00BF2878" w:rsidP="00AD5C65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658CE0A" w14:textId="3C113F10" w:rsidR="00BF2878" w:rsidRPr="00AD5C65" w:rsidRDefault="00BF2878" w:rsidP="00AD5C65">
      <w:pPr>
        <w:tabs>
          <w:tab w:val="left" w:pos="567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0D1CC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внесення змін до</w:t>
      </w: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Полтавської області на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роки для 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КП «Комунсервіс»</w:t>
      </w:r>
    </w:p>
    <w:p w14:paraId="47E54DD1" w14:textId="77777777"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2E73241" w14:textId="77777777"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A7FAD99" w14:textId="77777777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"Про благоустрій населених пунктів", керуючись 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“Про місцеве самоврядування в Україні», міська рада </w:t>
      </w:r>
    </w:p>
    <w:p w14:paraId="4F339315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9E77EE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426B9D22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77F99E" w14:textId="2D408CC2" w:rsid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КП «Комунсервіс (далі - </w:t>
      </w:r>
      <w:r w:rsidR="000D1CC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рограма), </w:t>
      </w:r>
      <w:r w:rsidR="000D1CC0" w:rsidRPr="00F34502">
        <w:rPr>
          <w:rFonts w:ascii="Times New Roman" w:hAnsi="Times New Roman" w:cs="Times New Roman"/>
          <w:noProof/>
          <w:color w:val="000000"/>
          <w:spacing w:val="5"/>
          <w:sz w:val="28"/>
          <w:szCs w:val="28"/>
          <w:lang w:val="uk-UA"/>
        </w:rPr>
        <w:t>виклавши її в новій редакції (додається)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AFFB30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84443A5" w14:textId="425AF7B5" w:rsid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0D1CC0" w:rsidRPr="00F34502">
        <w:rPr>
          <w:rFonts w:ascii="Times New Roman" w:hAnsi="Times New Roman" w:cs="Times New Roman"/>
          <w:noProof/>
          <w:sz w:val="28"/>
          <w:szCs w:val="28"/>
          <w:lang w:val="uk-UA"/>
        </w:rPr>
        <w:t>Організацію виконання Програми покласти на відділ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DE3D74D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8C76DF5" w14:textId="7A2FDC3E" w:rsidR="00BF2878" w:rsidRP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0D1CC0" w:rsidRPr="00F345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Контроль за виконанням Програми покласти на постійну комісію з питань комунальної власності, житлово-комунального господарства, інфраструктури та </w:t>
      </w:r>
      <w:r w:rsidR="000D1CC0" w:rsidRPr="00F34502">
        <w:rPr>
          <w:rFonts w:ascii="Times New Roman" w:hAnsi="Times New Roman" w:cs="Times New Roman"/>
          <w:noProof/>
          <w:color w:val="000000"/>
          <w:spacing w:val="5"/>
          <w:sz w:val="28"/>
          <w:szCs w:val="28"/>
          <w:lang w:val="uk-UA"/>
        </w:rPr>
        <w:t>благоустрою та постійну комісію з питань економічного розвитку, планування бюджету, залучення інвестицій та підприємництва</w:t>
      </w:r>
      <w:r w:rsidR="000D1CC0">
        <w:rPr>
          <w:rFonts w:ascii="Times New Roman" w:hAnsi="Times New Roman" w:cs="Times New Roman"/>
          <w:noProof/>
          <w:color w:val="000000"/>
          <w:spacing w:val="5"/>
          <w:sz w:val="28"/>
          <w:szCs w:val="28"/>
          <w:lang w:val="uk-UA"/>
        </w:rPr>
        <w:t>.</w:t>
      </w:r>
    </w:p>
    <w:p w14:paraId="35D20055" w14:textId="77777777" w:rsidR="00BF2878" w:rsidRPr="00AD5C65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14:paraId="54639CC9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82B80B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DB3C7D" w14:textId="77777777" w:rsidR="00BF2878" w:rsidRPr="00AD5C65" w:rsidRDefault="00BF2878" w:rsidP="00AD5C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2EAC4D9F" w14:textId="77777777" w:rsidR="00BF2878" w:rsidRPr="00AD5C65" w:rsidRDefault="00BF2878" w:rsidP="00BF287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2A87CF" w14:textId="77777777" w:rsidR="00BF2878" w:rsidRPr="00AD5C65" w:rsidRDefault="00BF2878" w:rsidP="00BF2878">
      <w:pPr>
        <w:tabs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A8C8C5" w14:textId="77777777" w:rsidR="00BF2878" w:rsidRPr="00AD5C65" w:rsidRDefault="00BF2878" w:rsidP="00BF2878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32B0CBA" w14:textId="77777777"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5940946" w14:textId="77777777"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B3483C4" w14:textId="77777777" w:rsid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AD5C65" w:rsidSect="00AD5C65">
          <w:pgSz w:w="11906" w:h="16838" w:code="9"/>
          <w:pgMar w:top="284" w:right="567" w:bottom="1134" w:left="1701" w:header="0" w:footer="0" w:gutter="0"/>
          <w:cols w:space="708"/>
          <w:docGrid w:linePitch="360"/>
        </w:sectPr>
      </w:pPr>
    </w:p>
    <w:p w14:paraId="58AFDF07" w14:textId="77777777" w:rsidR="00AD5C65" w:rsidRP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0BEDE0" w14:textId="77777777"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№1</w:t>
      </w:r>
    </w:p>
    <w:p w14:paraId="5AB19E83" w14:textId="2F6725B9"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0D1CC0" w:rsidRPr="00A36B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восьмого скликання від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2D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B1AF668" w14:textId="77777777" w:rsidR="00667EF9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6BE66D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3A7393C7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EF90B43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5BEDAF9A" w14:textId="77777777" w:rsidTr="00AD5C65">
        <w:tc>
          <w:tcPr>
            <w:tcW w:w="636" w:type="dxa"/>
            <w:vAlign w:val="center"/>
          </w:tcPr>
          <w:p w14:paraId="3331FE9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20013E2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6AB925D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32A0FC31" w14:textId="77777777" w:rsidTr="00AD5C65">
        <w:tc>
          <w:tcPr>
            <w:tcW w:w="636" w:type="dxa"/>
            <w:vAlign w:val="center"/>
          </w:tcPr>
          <w:p w14:paraId="4876828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05798DB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233E932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314F4E20" w14:textId="77777777" w:rsidTr="00AD5C65">
        <w:tc>
          <w:tcPr>
            <w:tcW w:w="636" w:type="dxa"/>
            <w:vAlign w:val="center"/>
          </w:tcPr>
          <w:p w14:paraId="64F7AB4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0C72CDF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2B532F6E" w14:textId="77777777" w:rsidR="00BF2878" w:rsidRPr="00672F39" w:rsidRDefault="008506C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F2878" w:rsidRPr="00672F39" w14:paraId="55C7D9B3" w14:textId="77777777" w:rsidTr="00AD5C65">
        <w:tc>
          <w:tcPr>
            <w:tcW w:w="636" w:type="dxa"/>
            <w:vAlign w:val="center"/>
          </w:tcPr>
          <w:p w14:paraId="4A75002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0594EDC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3D71E76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5280F531" w14:textId="77777777" w:rsidTr="00AD5C65">
        <w:tc>
          <w:tcPr>
            <w:tcW w:w="636" w:type="dxa"/>
            <w:vAlign w:val="center"/>
          </w:tcPr>
          <w:p w14:paraId="6EF77C1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27609D4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407E90A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07009673" w14:textId="77777777" w:rsidTr="00AD5C65">
        <w:tc>
          <w:tcPr>
            <w:tcW w:w="636" w:type="dxa"/>
            <w:vAlign w:val="center"/>
          </w:tcPr>
          <w:p w14:paraId="384B496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3B4C67E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7D3C2266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6559497B" w14:textId="77777777" w:rsidTr="00AD5C65">
        <w:tc>
          <w:tcPr>
            <w:tcW w:w="636" w:type="dxa"/>
            <w:vAlign w:val="center"/>
          </w:tcPr>
          <w:p w14:paraId="3C9862C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3D11BA6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6C286937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5915A181" w14:textId="77777777" w:rsidTr="00AD5C65">
        <w:tc>
          <w:tcPr>
            <w:tcW w:w="636" w:type="dxa"/>
            <w:vAlign w:val="center"/>
          </w:tcPr>
          <w:p w14:paraId="2D64E01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11F63F4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2EE66DF8" w14:textId="6A213909" w:rsidR="00BF2878" w:rsidRPr="00667EF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751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BF2878" w:rsidRPr="00672F39" w14:paraId="1ED0E854" w14:textId="77777777" w:rsidTr="00AD5C65">
        <w:tc>
          <w:tcPr>
            <w:tcW w:w="636" w:type="dxa"/>
            <w:vAlign w:val="center"/>
          </w:tcPr>
          <w:p w14:paraId="2DE1A69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44C172D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4C6020A3" w14:textId="14FFBB28" w:rsidR="00BF2878" w:rsidRPr="00672F3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751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F07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BF2878" w:rsidRPr="00672F39" w14:paraId="7F45E066" w14:textId="77777777" w:rsidTr="00AD5C65">
        <w:tc>
          <w:tcPr>
            <w:tcW w:w="636" w:type="dxa"/>
            <w:vAlign w:val="center"/>
          </w:tcPr>
          <w:p w14:paraId="4F6DB38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3E8E550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7560025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36BE9660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89BBB50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96DCF1F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4AF90AF" w14:textId="77777777" w:rsidR="00BF2878" w:rsidRPr="00672F39" w:rsidRDefault="00BF2878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67E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7E4E5ACB" w14:textId="77777777" w:rsidR="00BF2878" w:rsidRDefault="00BF2878" w:rsidP="007047E4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FE1A0E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3A4BC1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78D538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98C8B1" w14:textId="77777777"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58182C" w14:textId="77777777"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A44314" w14:textId="77777777" w:rsidR="00F72BC1" w:rsidRDefault="00F72BC1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AE09BF" w14:textId="77777777" w:rsidR="00BF2878" w:rsidRPr="00672F39" w:rsidRDefault="00BF2878" w:rsidP="00BF2878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88FB1" w14:textId="77777777" w:rsidR="00106E3C" w:rsidRPr="00C15E41" w:rsidRDefault="00106E3C" w:rsidP="00106E3C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14:paraId="0A6D790F" w14:textId="1D42E8BF" w:rsidR="00106E3C" w:rsidRPr="00C15E41" w:rsidRDefault="00106E3C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Хорольської міської ради восьмого скликання від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</w:p>
    <w:p w14:paraId="24C9DC63" w14:textId="77777777" w:rsidR="003E2167" w:rsidRDefault="003E2167" w:rsidP="00AD5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1894AF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1D0CEBCC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14:paraId="13BEAC15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DC533C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6371E1B6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ECF6CF" w14:textId="16F3C4D2" w:rsidR="002A5E46" w:rsidRPr="00AD5C65" w:rsidRDefault="00F96188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що</w:t>
        </w:r>
        <w:r w:rsidR="00A36B0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має статус </w:t>
        </w:r>
        <w:hyperlink r:id="rId8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77C5280E" w14:textId="77777777" w:rsidR="002A5E46" w:rsidRPr="00AD5C65" w:rsidRDefault="00F96188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619E9E84" w14:textId="77777777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1D340A7E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8343C2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76CB6E52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55441F0" w14:textId="77777777" w:rsidR="00F3140B" w:rsidRPr="00AD5C65" w:rsidRDefault="00F96188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C7281A9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 дороги, 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 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інші об’єкти благоустрою, які потребують постійного догляду та ремонту.</w:t>
      </w:r>
    </w:p>
    <w:p w14:paraId="0FE4F269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5D345A98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3C8458C1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3C4DAE4B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0B244658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09AB624F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0EE716FE" w14:textId="77777777" w:rsidR="00015A47" w:rsidRPr="00AD5C65" w:rsidRDefault="00F96188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5269BAC8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основних вимог Законів України 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Україні“, „</w:t>
      </w:r>
      <w:r w:rsidR="005C3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пунктів“, „Про охорону навколи</w:t>
      </w:r>
      <w:r w:rsidR="00350532">
        <w:rPr>
          <w:rFonts w:ascii="Times New Roman" w:hAnsi="Times New Roman" w:cs="Times New Roman"/>
          <w:sz w:val="28"/>
          <w:szCs w:val="28"/>
          <w:lang w:val="uk-UA"/>
        </w:rPr>
        <w:t>шнього природного середовища“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2F6073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93F4CA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1022E17F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317F22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76E70574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17C925A2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(зокрема, амброзії полинолистої);</w:t>
      </w:r>
    </w:p>
    <w:p w14:paraId="1AB5804F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400822FA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32A737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1945AD05" w14:textId="77777777" w:rsidR="00E34E93" w:rsidRPr="00AD5C65" w:rsidRDefault="00E34E93" w:rsidP="00AD5C65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210B4999" w14:textId="77777777" w:rsidR="001C534C" w:rsidRPr="00AD5C65" w:rsidRDefault="001C534C" w:rsidP="00AD5C65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132F93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0014EEB3" w14:textId="77777777"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3E1609C4" w14:textId="77777777"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міста з відновленням дорожніх знаків, розмітки,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6E817BA5" w14:textId="77777777" w:rsidR="007D096F" w:rsidRPr="00AD5C65" w:rsidRDefault="007D096F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78714F71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2E018E79" w14:textId="77777777" w:rsidR="007D096F" w:rsidRPr="00AD5C65" w:rsidRDefault="00F96188" w:rsidP="00AD5C6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0CC38B81" w14:textId="77777777" w:rsidR="007D096F" w:rsidRPr="00AD5C65" w:rsidRDefault="007D096F" w:rsidP="00AD5C6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роботи та утримання міського фонтану;</w:t>
      </w:r>
    </w:p>
    <w:p w14:paraId="44CB9BA5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521EE33B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00238E" w14:textId="77777777" w:rsidR="007D096F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полинолистою з використанням необхідної кількості 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4E60BF40" w14:textId="77777777" w:rsidR="007D096F" w:rsidRPr="00AD5C65" w:rsidRDefault="000649E8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95CAB8" w14:textId="77777777" w:rsidR="00E34E93" w:rsidRPr="00AD5C65" w:rsidRDefault="002A5E46" w:rsidP="00AD5C6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3D8EF832" w14:textId="77777777" w:rsidR="00A00D6C" w:rsidRPr="00AD5C65" w:rsidRDefault="00F96188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30D459AD" w14:textId="1EC42799" w:rsidR="00AD5C65" w:rsidRDefault="002A5E46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55144D" w:rsidRPr="00F07E85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F07E85" w:rsidRPr="00F07E85">
        <w:rPr>
          <w:rFonts w:ascii="Times New Roman" w:hAnsi="Times New Roman" w:cs="Times New Roman"/>
          <w:sz w:val="28"/>
          <w:szCs w:val="28"/>
          <w:lang w:val="uk-UA"/>
        </w:rPr>
        <w:t>751</w:t>
      </w:r>
      <w:r w:rsidR="007B3149" w:rsidRPr="00F07E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144D" w:rsidRPr="00F07E8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B3149" w:rsidRPr="00F07E85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 w:rsidRPr="00F07E85">
        <w:rPr>
          <w:rFonts w:ascii="Times New Roman" w:hAnsi="Times New Roman" w:cs="Times New Roman"/>
          <w:sz w:val="28"/>
          <w:szCs w:val="28"/>
          <w:lang w:val="uk-UA"/>
        </w:rPr>
        <w:t>тис. грн</w:t>
      </w:r>
      <w:r w:rsidR="00F07E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5D810E93" w14:textId="77777777" w:rsidR="00AD5C65" w:rsidRDefault="00AD5C65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18F73E" w14:textId="77777777"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47D1D732" w14:textId="77777777" w:rsidR="001C534C" w:rsidRPr="00AD5C65" w:rsidRDefault="002A5E46" w:rsidP="00AD5C6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5839728D" w14:textId="77777777"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2EEC7FD0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41F01A51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332E6167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155B8D4E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7448977D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FE8926B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3845DE06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6B636D22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605EB333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2C0DA37D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2245C4D5" w14:textId="77777777" w:rsidR="001C534C" w:rsidRP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699CF1B9" w14:textId="77777777" w:rsidR="00AD5C65" w:rsidRDefault="00F96188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44F237F3" w14:textId="77777777" w:rsidR="00AD5C65" w:rsidRDefault="00AD5C65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934C7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84A856B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DED2C84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D1AB34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0CA1CF6C" w14:textId="77777777"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369F1A6E" w14:textId="77777777" w:rsidR="001C534C" w:rsidRPr="00AD5C65" w:rsidRDefault="00F96188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14:paraId="10C5D0A5" w14:textId="77777777" w:rsidR="001C534C" w:rsidRPr="00AD5C65" w:rsidRDefault="00F96188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0FE205E3" w14:textId="77777777" w:rsidR="001C534C" w:rsidRPr="00AD5C65" w:rsidRDefault="00F96188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6D0894ED" w14:textId="77777777" w:rsidR="001C534C" w:rsidRPr="00AD5C65" w:rsidRDefault="00F96188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D464287" w14:textId="77777777" w:rsidR="001C534C" w:rsidRPr="00AD5C65" w:rsidRDefault="00F96188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0B732DC2" w14:textId="77777777" w:rsidR="001C534C" w:rsidRPr="00AD5C65" w:rsidRDefault="00F96188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5CAF1091" w14:textId="77777777"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1B6125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C6A9373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FA74F6F" w14:textId="77777777" w:rsidR="005A7BB1" w:rsidRPr="00AD5C65" w:rsidRDefault="005A7BB1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         Юлія БОЙКО</w:t>
      </w:r>
    </w:p>
    <w:p w14:paraId="009F390F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5C9EEE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4A104A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5FC79E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9BEFC" w14:textId="77777777" w:rsidR="00F72BC1" w:rsidRDefault="00F72BC1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1A08112" w14:textId="77777777" w:rsidR="00AD5C65" w:rsidRDefault="00AD5C65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58459DE" w14:textId="77777777" w:rsidR="00F72BC1" w:rsidRDefault="00F72BC1" w:rsidP="00F72BC1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1787AAF" w14:textId="77777777" w:rsidR="003D3EA3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0747AC" w14:textId="77777777" w:rsidR="007047E4" w:rsidRPr="00655DD9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№3</w:t>
      </w:r>
    </w:p>
    <w:p w14:paraId="60553886" w14:textId="530355CC" w:rsidR="007047E4" w:rsidRPr="00655DD9" w:rsidRDefault="007047E4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 </w:t>
      </w:r>
      <w:r w:rsidR="00B172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___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36B0D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№»</w:t>
      </w:r>
    </w:p>
    <w:p w14:paraId="40664401" w14:textId="77777777"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4BB45B" w14:textId="77777777" w:rsidR="007047E4" w:rsidRPr="00655DD9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2952C04E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14:paraId="66A8417B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2F04422E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0105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07E3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7EF6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61A2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5B85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C4B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CB04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2A5C355C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B9D93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88F974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6A3F2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7047E4" w:rsidRPr="00655DD9" w14:paraId="35029E60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7D7F9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A54539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5D6669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EA7A8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E2A5E1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14:paraId="083371B6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82A99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(тис.грн.)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18C40" w14:textId="52872DB9" w:rsidR="007047E4" w:rsidRPr="00F07E85" w:rsidRDefault="00B172B7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490</w:t>
            </w:r>
            <w:r w:rsidR="007047E4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5E7781" w14:textId="77777777" w:rsidR="007047E4" w:rsidRPr="00F07E85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B172B7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4140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81B33E8" w14:textId="77777777" w:rsidR="007047E4" w:rsidRPr="00F07E85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B172B7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281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B172B7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A30CEC" w14:textId="746DB068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751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,4</w:t>
            </w:r>
          </w:p>
        </w:tc>
      </w:tr>
      <w:tr w:rsidR="007047E4" w:rsidRPr="002B4998" w14:paraId="5F827BA8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9DFA88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A0FBB7" w14:textId="02AF8E53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490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559D1" w14:textId="77777777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14140,00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2B3ABEC" w14:textId="77777777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14281,4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76676" w14:textId="26915AEE" w:rsidR="007047E4" w:rsidRPr="00F07E85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</w:t>
            </w:r>
            <w:r w:rsidR="00F07E85"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751</w:t>
            </w:r>
            <w:r w:rsidRPr="00F07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,4</w:t>
            </w:r>
          </w:p>
        </w:tc>
      </w:tr>
      <w:tr w:rsidR="007047E4" w:rsidRPr="002B4998" w14:paraId="11CCD83E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CEBE1D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02F75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97BF0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47742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00D58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7A906BF5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18A8101" w14:textId="77777777"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0983C587" w14:textId="77777777" w:rsidR="00AD5C65" w:rsidRDefault="00AD5C65" w:rsidP="00AD5C6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F3D8E6F" w14:textId="77777777" w:rsidR="00F13489" w:rsidRDefault="00F13489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178DE941" w14:textId="77777777"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A3A2D8B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F1F98C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FF57B6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4B184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AAEAF9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051A03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C3D0D6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2F833A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CA079C" w14:textId="77777777"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AD5C6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1492C6B6" w14:textId="77777777" w:rsidR="002E01C6" w:rsidRPr="00672F39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80886233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№4</w:t>
      </w:r>
    </w:p>
    <w:p w14:paraId="5DDE0231" w14:textId="2DAC93A3" w:rsidR="002E01C6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07E85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0D1CC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2D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906F5FB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Hlk80886308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0B177268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D8CB98E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bookmarkEnd w:id="0"/>
    <w:bookmarkEnd w:id="1"/>
    <w:p w14:paraId="3AB731C9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54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2E01C6" w:rsidRPr="00826BF8" w14:paraId="41B623D6" w14:textId="77777777" w:rsidTr="007202CD">
        <w:tc>
          <w:tcPr>
            <w:tcW w:w="568" w:type="dxa"/>
            <w:vMerge w:val="restart"/>
            <w:vAlign w:val="center"/>
          </w:tcPr>
          <w:p w14:paraId="20FDC48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42689CE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258E094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66AC553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7C4F36A9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05F0FD5D" w14:textId="77777777"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093497F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14:paraId="5AF3B294" w14:textId="77777777" w:rsidTr="007202CD">
        <w:trPr>
          <w:trHeight w:val="1571"/>
        </w:trPr>
        <w:tc>
          <w:tcPr>
            <w:tcW w:w="568" w:type="dxa"/>
            <w:vMerge/>
            <w:vAlign w:val="center"/>
          </w:tcPr>
          <w:p w14:paraId="0389AB6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82308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48D03F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0DDC86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75F42E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6C95BBFB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47596AE5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4C669D72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17B2F87B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47F346E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4FD5A8DF" w14:textId="77777777" w:rsidTr="007202CD">
        <w:tc>
          <w:tcPr>
            <w:tcW w:w="15451" w:type="dxa"/>
            <w:gridSpan w:val="10"/>
            <w:vAlign w:val="center"/>
          </w:tcPr>
          <w:p w14:paraId="5216CD7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2E01C6" w:rsidRPr="00826BF8" w14:paraId="45031615" w14:textId="77777777" w:rsidTr="007202CD">
        <w:tc>
          <w:tcPr>
            <w:tcW w:w="568" w:type="dxa"/>
            <w:vAlign w:val="center"/>
          </w:tcPr>
          <w:p w14:paraId="52BC4DE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1D05570F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70E9A081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4DBF6EB2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памятників, цвинтарів,</w:t>
            </w:r>
          </w:p>
          <w:p w14:paraId="440689FE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49E89B42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7B98FF7A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378DD69E" w14:textId="77777777"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2025 - 2027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576F496F" w14:textId="77777777"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6360FF97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B3A1CA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F69C92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8567D2A" w14:textId="77777777"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14000,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229" w:type="dxa"/>
            <w:vAlign w:val="center"/>
          </w:tcPr>
          <w:p w14:paraId="690C7D3C" w14:textId="77777777"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14140,00</w:t>
            </w:r>
          </w:p>
        </w:tc>
        <w:tc>
          <w:tcPr>
            <w:tcW w:w="1229" w:type="dxa"/>
            <w:vAlign w:val="center"/>
          </w:tcPr>
          <w:p w14:paraId="1F2D63DB" w14:textId="77777777"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14:paraId="2B5C821B" w14:textId="77777777" w:rsidR="002E01C6" w:rsidRPr="00826BF8" w:rsidRDefault="00FA0A1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42421,4</w:t>
            </w:r>
          </w:p>
        </w:tc>
        <w:tc>
          <w:tcPr>
            <w:tcW w:w="1727" w:type="dxa"/>
            <w:vMerge w:val="restart"/>
            <w:vAlign w:val="center"/>
          </w:tcPr>
          <w:p w14:paraId="16F80C7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2E01C6" w:rsidRPr="00826BF8" w14:paraId="112AC095" w14:textId="77777777" w:rsidTr="007202CD">
        <w:tc>
          <w:tcPr>
            <w:tcW w:w="568" w:type="dxa"/>
            <w:vAlign w:val="center"/>
          </w:tcPr>
          <w:p w14:paraId="2273103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334155EF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Оплатапраці</w:t>
            </w:r>
          </w:p>
        </w:tc>
        <w:tc>
          <w:tcPr>
            <w:tcW w:w="1134" w:type="dxa"/>
            <w:vAlign w:val="center"/>
          </w:tcPr>
          <w:p w14:paraId="6C8A90C2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AE041A3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842D811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767D37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527C35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717E7F6E" w14:textId="77777777"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14:paraId="1CEB8517" w14:textId="77777777"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14:paraId="125D8D03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57" w:type="dxa"/>
            <w:vAlign w:val="center"/>
          </w:tcPr>
          <w:p w14:paraId="29F774C6" w14:textId="77777777"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5478AC0" w14:textId="77777777" w:rsidR="00FA63DA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27693,0</w:t>
            </w:r>
          </w:p>
          <w:p w14:paraId="74A2B1C7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27" w:type="dxa"/>
            <w:vMerge/>
            <w:vAlign w:val="center"/>
          </w:tcPr>
          <w:p w14:paraId="208B0AD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56789207" w14:textId="77777777" w:rsidTr="007202CD">
        <w:tc>
          <w:tcPr>
            <w:tcW w:w="568" w:type="dxa"/>
            <w:vAlign w:val="center"/>
          </w:tcPr>
          <w:p w14:paraId="302AC0A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732D0301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20D93CBE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48FC16C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внесок 22%</w:t>
            </w:r>
          </w:p>
        </w:tc>
        <w:tc>
          <w:tcPr>
            <w:tcW w:w="1134" w:type="dxa"/>
            <w:vAlign w:val="center"/>
          </w:tcPr>
          <w:p w14:paraId="0A0263EE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8C04534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32BA805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CD99045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18099B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D958B25" w14:textId="77777777"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2031,5</w:t>
            </w:r>
          </w:p>
        </w:tc>
        <w:tc>
          <w:tcPr>
            <w:tcW w:w="1229" w:type="dxa"/>
            <w:vAlign w:val="center"/>
          </w:tcPr>
          <w:p w14:paraId="4D07F4D7" w14:textId="77777777"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29" w:type="dxa"/>
            <w:vAlign w:val="center"/>
          </w:tcPr>
          <w:p w14:paraId="4548B33F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57" w:type="dxa"/>
            <w:vAlign w:val="center"/>
          </w:tcPr>
          <w:p w14:paraId="11115B3F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6094,5</w:t>
            </w:r>
          </w:p>
        </w:tc>
        <w:tc>
          <w:tcPr>
            <w:tcW w:w="1727" w:type="dxa"/>
            <w:vMerge/>
            <w:vAlign w:val="center"/>
          </w:tcPr>
          <w:p w14:paraId="61E62DD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2242579D" w14:textId="77777777" w:rsidTr="007202CD">
        <w:tc>
          <w:tcPr>
            <w:tcW w:w="568" w:type="dxa"/>
            <w:vAlign w:val="center"/>
          </w:tcPr>
          <w:p w14:paraId="6A86EDF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5564B569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1390675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5D87707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7C5B10E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CA41ABA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EA21D0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C4045A6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8BCBC50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B90F5B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32F7794" w14:textId="77777777"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F0B132D" w14:textId="5ED01A21" w:rsidR="00FA63DA" w:rsidRDefault="0014304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6B0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,1</w:t>
            </w:r>
          </w:p>
          <w:p w14:paraId="06EB77D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126172C9" w14:textId="77777777" w:rsidR="002E01C6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2717,1</w:t>
            </w:r>
          </w:p>
        </w:tc>
        <w:tc>
          <w:tcPr>
            <w:tcW w:w="1229" w:type="dxa"/>
            <w:vAlign w:val="center"/>
          </w:tcPr>
          <w:p w14:paraId="3F7D5047" w14:textId="77777777" w:rsidR="002E01C6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2858,5</w:t>
            </w:r>
          </w:p>
        </w:tc>
        <w:tc>
          <w:tcPr>
            <w:tcW w:w="1257" w:type="dxa"/>
            <w:vAlign w:val="center"/>
          </w:tcPr>
          <w:p w14:paraId="457D83AB" w14:textId="77777777" w:rsidR="00FA63DA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8152,7</w:t>
            </w:r>
          </w:p>
        </w:tc>
        <w:tc>
          <w:tcPr>
            <w:tcW w:w="1727" w:type="dxa"/>
            <w:vMerge/>
            <w:vAlign w:val="center"/>
          </w:tcPr>
          <w:p w14:paraId="7B3102B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14:paraId="2BECC46C" w14:textId="77777777" w:rsidTr="007202CD">
        <w:tc>
          <w:tcPr>
            <w:tcW w:w="568" w:type="dxa"/>
            <w:vAlign w:val="center"/>
          </w:tcPr>
          <w:p w14:paraId="6627E4CB" w14:textId="77777777" w:rsidR="002E01C6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238139E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2F96496D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338BA886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0FCCF2ED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44902432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8C9718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315EA78" w14:textId="77777777"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AD0B291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35F4EA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A5823D2" w14:textId="2E857AA5" w:rsidR="002E01C6" w:rsidRPr="00826BF8" w:rsidRDefault="00A36B0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300</w:t>
            </w:r>
            <w:r w:rsidR="00DF71E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,4</w:t>
            </w:r>
          </w:p>
        </w:tc>
        <w:tc>
          <w:tcPr>
            <w:tcW w:w="1229" w:type="dxa"/>
            <w:vAlign w:val="center"/>
          </w:tcPr>
          <w:p w14:paraId="62630501" w14:textId="77777777" w:rsidR="002E01C6" w:rsidRPr="00826BF8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29" w:type="dxa"/>
            <w:vAlign w:val="center"/>
          </w:tcPr>
          <w:p w14:paraId="0BC3EFC7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57" w:type="dxa"/>
            <w:vAlign w:val="center"/>
          </w:tcPr>
          <w:p w14:paraId="76D254CB" w14:textId="77777777"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451,2</w:t>
            </w:r>
          </w:p>
        </w:tc>
        <w:tc>
          <w:tcPr>
            <w:tcW w:w="1727" w:type="dxa"/>
            <w:vMerge w:val="restart"/>
            <w:vAlign w:val="center"/>
          </w:tcPr>
          <w:p w14:paraId="7E0BF617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14:paraId="63DBBD5D" w14:textId="77777777" w:rsidTr="007202CD">
        <w:tc>
          <w:tcPr>
            <w:tcW w:w="568" w:type="dxa"/>
            <w:vAlign w:val="center"/>
          </w:tcPr>
          <w:p w14:paraId="353824A6" w14:textId="77777777" w:rsidR="001C0A3E" w:rsidRPr="00826BF8" w:rsidRDefault="0014304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5E2BDBC" w14:textId="77777777"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2695AF70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577822DE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6DE8DEB" w14:textId="77777777"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</w:t>
            </w:r>
          </w:p>
        </w:tc>
        <w:tc>
          <w:tcPr>
            <w:tcW w:w="2268" w:type="dxa"/>
            <w:vAlign w:val="center"/>
          </w:tcPr>
          <w:p w14:paraId="12F74019" w14:textId="77777777"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262BCC0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EFD809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14:paraId="5C3F9348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14:paraId="0E020BF9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57" w:type="dxa"/>
            <w:vAlign w:val="center"/>
          </w:tcPr>
          <w:p w14:paraId="7F9208A0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727" w:type="dxa"/>
            <w:vMerge/>
            <w:vAlign w:val="center"/>
          </w:tcPr>
          <w:p w14:paraId="2061D2AB" w14:textId="77777777"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01C6" w14:paraId="7B95D6D4" w14:textId="77777777" w:rsidTr="007202CD">
        <w:trPr>
          <w:trHeight w:val="192"/>
        </w:trPr>
        <w:tc>
          <w:tcPr>
            <w:tcW w:w="568" w:type="dxa"/>
            <w:vAlign w:val="center"/>
          </w:tcPr>
          <w:p w14:paraId="7FFC916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1763A0A6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6416ADA2" w14:textId="57DAD9A6" w:rsidR="002E01C6" w:rsidRPr="001C0A3E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  <w:r w:rsidR="00A36B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0,00</w:t>
            </w:r>
          </w:p>
        </w:tc>
        <w:tc>
          <w:tcPr>
            <w:tcW w:w="1229" w:type="dxa"/>
            <w:vAlign w:val="center"/>
          </w:tcPr>
          <w:p w14:paraId="55101BEF" w14:textId="77777777" w:rsidR="002E01C6" w:rsidRPr="001C0A3E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14140,00</w:t>
            </w:r>
          </w:p>
        </w:tc>
        <w:tc>
          <w:tcPr>
            <w:tcW w:w="1229" w:type="dxa"/>
            <w:vAlign w:val="center"/>
          </w:tcPr>
          <w:p w14:paraId="660C71DE" w14:textId="77777777"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14:paraId="06794DE2" w14:textId="1FE9B049"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42</w:t>
            </w:r>
            <w:r w:rsidR="00F07E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1,4</w:t>
            </w:r>
          </w:p>
        </w:tc>
        <w:tc>
          <w:tcPr>
            <w:tcW w:w="1727" w:type="dxa"/>
            <w:vMerge/>
            <w:vAlign w:val="center"/>
          </w:tcPr>
          <w:p w14:paraId="76AD90B8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5F8A1D" w14:textId="77777777" w:rsidR="002E01C6" w:rsidRPr="00655DD9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2424131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CBD9A7" w14:textId="77777777"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69C864" w14:textId="77777777" w:rsidR="002E01C6" w:rsidRPr="00655DD9" w:rsidRDefault="002E01C6" w:rsidP="002E01C6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22396D63" w14:textId="77777777" w:rsidR="002E01C6" w:rsidRPr="00655DD9" w:rsidRDefault="002E01C6" w:rsidP="002E01C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262644" w14:textId="77777777" w:rsidR="008F0EF9" w:rsidRDefault="008F0EF9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F0EF9" w:rsidSect="007202C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49E8"/>
    <w:rsid w:val="000A3121"/>
    <w:rsid w:val="000D0472"/>
    <w:rsid w:val="000D1CC0"/>
    <w:rsid w:val="000D53A7"/>
    <w:rsid w:val="00106E3C"/>
    <w:rsid w:val="0014304A"/>
    <w:rsid w:val="00150A19"/>
    <w:rsid w:val="001C0A3E"/>
    <w:rsid w:val="001C534C"/>
    <w:rsid w:val="001D42F1"/>
    <w:rsid w:val="002039CE"/>
    <w:rsid w:val="00295D27"/>
    <w:rsid w:val="002A5E46"/>
    <w:rsid w:val="002B47EE"/>
    <w:rsid w:val="002D6529"/>
    <w:rsid w:val="002E01C6"/>
    <w:rsid w:val="003230FC"/>
    <w:rsid w:val="00350532"/>
    <w:rsid w:val="003824D2"/>
    <w:rsid w:val="003D3EA3"/>
    <w:rsid w:val="003E2167"/>
    <w:rsid w:val="00400EDC"/>
    <w:rsid w:val="0041573D"/>
    <w:rsid w:val="00467AAC"/>
    <w:rsid w:val="005072EA"/>
    <w:rsid w:val="005240F1"/>
    <w:rsid w:val="0055144D"/>
    <w:rsid w:val="00584CB2"/>
    <w:rsid w:val="00597FEE"/>
    <w:rsid w:val="005A7BB1"/>
    <w:rsid w:val="005C375A"/>
    <w:rsid w:val="005D50DA"/>
    <w:rsid w:val="00622F37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812E0E"/>
    <w:rsid w:val="008506CE"/>
    <w:rsid w:val="008E25C3"/>
    <w:rsid w:val="008F0EF9"/>
    <w:rsid w:val="008F445C"/>
    <w:rsid w:val="009C5E48"/>
    <w:rsid w:val="00A00D6C"/>
    <w:rsid w:val="00A354CA"/>
    <w:rsid w:val="00A36B0D"/>
    <w:rsid w:val="00A7023F"/>
    <w:rsid w:val="00A769F0"/>
    <w:rsid w:val="00AD5C65"/>
    <w:rsid w:val="00AF08CB"/>
    <w:rsid w:val="00B047B5"/>
    <w:rsid w:val="00B172B7"/>
    <w:rsid w:val="00B708E8"/>
    <w:rsid w:val="00BB4089"/>
    <w:rsid w:val="00BC2A96"/>
    <w:rsid w:val="00BC717E"/>
    <w:rsid w:val="00BF2878"/>
    <w:rsid w:val="00C11BEB"/>
    <w:rsid w:val="00C66C6C"/>
    <w:rsid w:val="00CA15CA"/>
    <w:rsid w:val="00CB3993"/>
    <w:rsid w:val="00DF71E7"/>
    <w:rsid w:val="00E34E93"/>
    <w:rsid w:val="00EB6128"/>
    <w:rsid w:val="00F0107E"/>
    <w:rsid w:val="00F07E85"/>
    <w:rsid w:val="00F13489"/>
    <w:rsid w:val="00F3140B"/>
    <w:rsid w:val="00F53396"/>
    <w:rsid w:val="00F72BC1"/>
    <w:rsid w:val="00F80202"/>
    <w:rsid w:val="00F81943"/>
    <w:rsid w:val="00F96188"/>
    <w:rsid w:val="00F9721C"/>
    <w:rsid w:val="00FA0A1E"/>
    <w:rsid w:val="00FA6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CBC6"/>
  <w15:docId w15:val="{62F8C116-544E-4916-AC2E-1422866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hyperlink" Target="https://ips.ligazakon.net/document/view/ZI180404?ed=2018_12_05&amp;an=13" TargetMode="Externa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C1D3-331D-489D-B790-1454471F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2549</Words>
  <Characters>14532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</cp:lastModifiedBy>
  <cp:revision>35</cp:revision>
  <cp:lastPrinted>2025-10-02T06:31:00Z</cp:lastPrinted>
  <dcterms:created xsi:type="dcterms:W3CDTF">2024-12-05T13:53:00Z</dcterms:created>
  <dcterms:modified xsi:type="dcterms:W3CDTF">2025-10-07T13:40:00Z</dcterms:modified>
</cp:coreProperties>
</file>